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49DE1F26" w14:textId="6866AD7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001D640F" w:rsidRPr="004D2A93">
        <w:rPr>
          <w:rFonts w:ascii="Verdana" w:eastAsia="Times New Roman" w:hAnsi="Verdana" w:cstheme="minorHAnsi"/>
          <w:b/>
          <w:caps/>
          <w:color w:val="000000" w:themeColor="text1"/>
          <w:kern w:val="28"/>
          <w:sz w:val="18"/>
          <w:szCs w:val="18"/>
        </w:rPr>
        <w:t xml:space="preserve">8 </w:t>
      </w:r>
      <w:r w:rsidRPr="004D2A93">
        <w:rPr>
          <w:rFonts w:ascii="Verdana" w:eastAsia="Times New Roman" w:hAnsi="Verdana" w:cstheme="minorHAnsi"/>
          <w:b/>
          <w:caps/>
          <w:color w:val="000000" w:themeColor="text1"/>
          <w:kern w:val="28"/>
          <w:sz w:val="18"/>
          <w:szCs w:val="18"/>
        </w:rPr>
        <w:t xml:space="preserve">DO SWZ – Oświadczenie o braku podstaw wykluczenia </w:t>
      </w:r>
    </w:p>
    <w:p w14:paraId="629D5720" w14:textId="77777777" w:rsidR="004F0AA0" w:rsidRDefault="004F0AA0" w:rsidP="00B006E3">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 PODMIOTU UDOSTĘPNIAJĄCEGO ZASOBY*</w:t>
      </w:r>
    </w:p>
    <w:p w14:paraId="0F947643" w14:textId="4C06E275"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DOTYCZĄCE BRAKU PODSTAW WYKLUCZENIA NA PODSTAWIE:</w:t>
      </w:r>
    </w:p>
    <w:p w14:paraId="24079618" w14:textId="77777777" w:rsidR="004F0AA0" w:rsidRDefault="004F0AA0" w:rsidP="00B006E3">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4B0840EB"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D01A1E">
        <w:rPr>
          <w:b w:val="0"/>
          <w:caps w:val="0"/>
          <w:sz w:val="18"/>
          <w:szCs w:val="18"/>
          <w:lang w:val="pl-PL" w:bidi="pl-PL"/>
        </w:rPr>
        <w:t>0</w:t>
      </w:r>
      <w:r w:rsidRPr="004D2A93">
        <w:rPr>
          <w:b w:val="0"/>
          <w:caps w:val="0"/>
          <w:sz w:val="18"/>
          <w:szCs w:val="18"/>
          <w:lang w:val="pl-PL" w:bidi="pl-PL"/>
        </w:rPr>
        <w:t>7.2014),</w:t>
      </w:r>
      <w:r w:rsidRPr="004D2A93">
        <w:rPr>
          <w:b w:val="0"/>
          <w:caps w:val="0"/>
          <w:sz w:val="18"/>
          <w:szCs w:val="18"/>
          <w:lang w:val="pl-PL" w:bidi="pl-PL"/>
        </w:rPr>
        <w:br/>
        <w:t xml:space="preserve">w brzmieniu nadanym Rozporządzeniem Rady (UE) 2022/576 z dnia 8 kwietnia 2022 r. w sprawie zmiany rozporządzenia (UE) nr 833/2014 dotyczącego środków ograniczających w związku z działaniami Rosji destabilizującymi sytuację na Ukrainie (Dz.U. L 111 z </w:t>
      </w:r>
      <w:r w:rsidR="00D01A1E">
        <w:rPr>
          <w:b w:val="0"/>
          <w:caps w:val="0"/>
          <w:sz w:val="18"/>
          <w:szCs w:val="18"/>
          <w:lang w:val="pl-PL" w:bidi="pl-PL"/>
        </w:rPr>
        <w:t>0</w:t>
      </w:r>
      <w:r w:rsidRPr="004D2A93">
        <w:rPr>
          <w:b w:val="0"/>
          <w:caps w:val="0"/>
          <w:sz w:val="18"/>
          <w:szCs w:val="18"/>
          <w:lang w:val="pl-PL" w:bidi="pl-PL"/>
        </w:rPr>
        <w:t>8.</w:t>
      </w:r>
      <w:r w:rsidR="00D01A1E">
        <w:rPr>
          <w:b w:val="0"/>
          <w:caps w:val="0"/>
          <w:sz w:val="18"/>
          <w:szCs w:val="18"/>
          <w:lang w:val="pl-PL" w:bidi="pl-PL"/>
        </w:rPr>
        <w:t>0</w:t>
      </w:r>
      <w:r w:rsidRPr="004D2A93">
        <w:rPr>
          <w:b w:val="0"/>
          <w:caps w:val="0"/>
          <w:sz w:val="18"/>
          <w:szCs w:val="18"/>
          <w:lang w:val="pl-PL" w:bidi="pl-PL"/>
        </w:rPr>
        <w:t>4.2022)</w:t>
      </w:r>
    </w:p>
    <w:p w14:paraId="31B8A348" w14:textId="77777777"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oraz</w:t>
      </w:r>
    </w:p>
    <w:p w14:paraId="135CD514" w14:textId="2CEDED03"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 xml:space="preserve"> art. 7 ust. 1 Ustawy z dnia 13 kwietnia 2022 r. o szczególnych rozwiązaniach w zakresie przeciwdziałania wspieraniu agresji na Ukrainę oraz służących ochronie bezpieczeństwa narodowego (</w:t>
      </w:r>
      <w:r w:rsidR="004D4CFC" w:rsidRPr="00C62F4D">
        <w:rPr>
          <w:rFonts w:cs="Arial"/>
          <w:b w:val="0"/>
          <w:caps w:val="0"/>
          <w:sz w:val="18"/>
          <w:szCs w:val="18"/>
          <w:lang w:val="pl-PL"/>
        </w:rPr>
        <w:t>t.j. Dz. U. z 2023 r., poz. 1497 z późn. zm.</w:t>
      </w:r>
      <w:r w:rsidRPr="004D2A93">
        <w:rPr>
          <w:b w:val="0"/>
          <w:caps w:val="0"/>
          <w:sz w:val="18"/>
          <w:szCs w:val="18"/>
          <w:lang w:val="pl-PL"/>
        </w:rPr>
        <w:t xml:space="preserve">).  </w:t>
      </w:r>
    </w:p>
    <w:p w14:paraId="6B672486" w14:textId="77777777" w:rsidR="00B006E3" w:rsidRPr="004D2A93" w:rsidRDefault="00B006E3" w:rsidP="00B006E3">
      <w:pPr>
        <w:rPr>
          <w:rFonts w:ascii="Verdana" w:hAnsi="Verdana"/>
          <w:b/>
          <w:caps/>
          <w:sz w:val="18"/>
          <w:szCs w:val="18"/>
        </w:rPr>
      </w:pPr>
    </w:p>
    <w:p w14:paraId="6EF114B9" w14:textId="77777777" w:rsidR="00B006E3" w:rsidRPr="004D2A93" w:rsidRDefault="00B006E3"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130870" w14:paraId="18790520" w14:textId="77777777" w:rsidTr="004D2A93">
        <w:trPr>
          <w:trHeight w:val="454"/>
        </w:trPr>
        <w:tc>
          <w:tcPr>
            <w:tcW w:w="4962" w:type="dxa"/>
            <w:shd w:val="clear" w:color="auto" w:fill="1A7466"/>
            <w:vAlign w:val="center"/>
          </w:tcPr>
          <w:p w14:paraId="31B4FAB7" w14:textId="3D6B6B35" w:rsidR="00B006E3" w:rsidRPr="004D2A93" w:rsidRDefault="00B006E3" w:rsidP="00FD7527">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0702FB8D" w14:textId="770D560D" w:rsidR="00B006E3" w:rsidRPr="004D2A93" w:rsidRDefault="00B006E3" w:rsidP="00FD7527">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B006E3" w:rsidRPr="00130870" w14:paraId="0AA119F4" w14:textId="77777777" w:rsidTr="004D2A93">
        <w:trPr>
          <w:trHeight w:val="454"/>
        </w:trPr>
        <w:tc>
          <w:tcPr>
            <w:tcW w:w="4962" w:type="dxa"/>
            <w:shd w:val="clear" w:color="auto" w:fill="auto"/>
            <w:vAlign w:val="center"/>
          </w:tcPr>
          <w:p w14:paraId="75C6593D" w14:textId="77777777" w:rsidR="00B006E3" w:rsidRPr="004D2A93" w:rsidRDefault="00B006E3" w:rsidP="00FD7527">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4D2A93" w:rsidRDefault="00B006E3" w:rsidP="00FD7527">
            <w:pPr>
              <w:ind w:left="360"/>
              <w:jc w:val="center"/>
              <w:rPr>
                <w:rFonts w:eastAsia="Calibri"/>
                <w:sz w:val="18"/>
                <w:szCs w:val="18"/>
                <w:highlight w:val="cyan"/>
              </w:rPr>
            </w:pPr>
          </w:p>
        </w:tc>
      </w:tr>
    </w:tbl>
    <w:p w14:paraId="616D54D8" w14:textId="77777777" w:rsidR="00B006E3" w:rsidRPr="004D2A93" w:rsidRDefault="00B006E3" w:rsidP="00B006E3">
      <w:pPr>
        <w:jc w:val="both"/>
        <w:rPr>
          <w:rFonts w:ascii="Verdana" w:hAnsi="Verdana"/>
          <w:sz w:val="18"/>
          <w:szCs w:val="18"/>
        </w:rPr>
      </w:pPr>
    </w:p>
    <w:p w14:paraId="3A5CCCF1" w14:textId="43735CB6" w:rsidR="00B006E3" w:rsidRPr="004D2A93" w:rsidRDefault="00B006E3" w:rsidP="00B006E3">
      <w:pPr>
        <w:jc w:val="both"/>
        <w:rPr>
          <w:rFonts w:ascii="Verdana" w:hAnsi="Verdana"/>
          <w:sz w:val="18"/>
          <w:szCs w:val="18"/>
        </w:rPr>
      </w:pPr>
      <w:r w:rsidRPr="004D2A93">
        <w:rPr>
          <w:rFonts w:ascii="Verdana" w:hAnsi="Verdana"/>
          <w:sz w:val="18"/>
          <w:szCs w:val="18"/>
        </w:rPr>
        <w:t xml:space="preserve">Na potrzeby postępowania o udzielenie Zamówienia publicznego pn. </w:t>
      </w:r>
      <w:r w:rsidR="0068362D" w:rsidRPr="0068362D">
        <w:rPr>
          <w:rFonts w:ascii="Verdana" w:hAnsi="Verdana"/>
          <w:b/>
          <w:sz w:val="18"/>
          <w:szCs w:val="18"/>
        </w:rPr>
        <w:t xml:space="preserve">Sukcesywna dostawa kompaktowych węzłów cieplnych dla PGE Toruń oraz dla PGE Energia Ciepła Oddział Szczecin </w:t>
      </w:r>
      <w:r w:rsidRPr="00F27DD5">
        <w:rPr>
          <w:rFonts w:ascii="Verdana" w:hAnsi="Verdana"/>
          <w:b/>
          <w:sz w:val="18"/>
          <w:szCs w:val="18"/>
        </w:rPr>
        <w:t xml:space="preserve">(nr referencyjny </w:t>
      </w:r>
      <w:r w:rsidR="0019174E" w:rsidRPr="00F27DD5">
        <w:rPr>
          <w:rFonts w:ascii="Verdana" w:hAnsi="Verdana"/>
          <w:b/>
          <w:sz w:val="18"/>
          <w:szCs w:val="18"/>
        </w:rPr>
        <w:t>POST/PEC/PEC/</w:t>
      </w:r>
      <w:r w:rsidR="0068362D">
        <w:rPr>
          <w:rFonts w:ascii="Verdana" w:hAnsi="Verdana"/>
          <w:b/>
          <w:sz w:val="18"/>
          <w:szCs w:val="18"/>
        </w:rPr>
        <w:t>UZB</w:t>
      </w:r>
      <w:r w:rsidR="0019174E" w:rsidRPr="00F27DD5">
        <w:rPr>
          <w:rFonts w:ascii="Verdana" w:hAnsi="Verdana"/>
          <w:b/>
          <w:sz w:val="18"/>
          <w:szCs w:val="18"/>
        </w:rPr>
        <w:t>/00</w:t>
      </w:r>
      <w:r w:rsidR="0068362D">
        <w:rPr>
          <w:rFonts w:ascii="Verdana" w:hAnsi="Verdana"/>
          <w:b/>
          <w:sz w:val="18"/>
          <w:szCs w:val="18"/>
        </w:rPr>
        <w:t>782</w:t>
      </w:r>
      <w:r w:rsidR="0019174E" w:rsidRPr="00F27DD5">
        <w:rPr>
          <w:rFonts w:ascii="Verdana" w:hAnsi="Verdana"/>
          <w:b/>
          <w:sz w:val="18"/>
          <w:szCs w:val="18"/>
        </w:rPr>
        <w:t>/2025</w:t>
      </w:r>
      <w:r w:rsidRPr="00F27DD5">
        <w:rPr>
          <w:rFonts w:ascii="Verdana" w:hAnsi="Verdana"/>
          <w:b/>
          <w:sz w:val="18"/>
          <w:szCs w:val="18"/>
        </w:rPr>
        <w:t>):</w:t>
      </w:r>
    </w:p>
    <w:p w14:paraId="152F17AA" w14:textId="47B1F9B5" w:rsidR="00174F5A" w:rsidRPr="004D2A93" w:rsidRDefault="00174F5A" w:rsidP="004D2A93">
      <w:pPr>
        <w:rPr>
          <w:b/>
        </w:rPr>
      </w:pPr>
      <w:r w:rsidRPr="004D2A93">
        <w:rPr>
          <w:b/>
        </w:rPr>
        <w:t>OŚWIADCZENIE WYKONAWCY/ PODMIOTU UDOSTĘPNIAJĄCEGO ZASOBY</w:t>
      </w:r>
      <w:r w:rsidR="00541710" w:rsidRPr="004D2A93">
        <w:rPr>
          <w:b/>
        </w:rPr>
        <w:t>*</w:t>
      </w:r>
    </w:p>
    <w:p w14:paraId="4AAB8DA1"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w:t>
      </w:r>
      <w:r w:rsidRPr="004D2A93">
        <w:rPr>
          <w:b/>
          <w:sz w:val="18"/>
          <w:szCs w:val="18"/>
        </w:rPr>
        <w:t>oświadczamy, że nie podlegamy wykluczeniu z postępowania na podstawie art. 5k tego rozporządzenia, w tym nie jesteśmy:</w:t>
      </w:r>
    </w:p>
    <w:p w14:paraId="32652E29"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obywatelem rosyjskim lub osobą fizyczną lub prawną, podmiotem lub organem z siedzibą w Rosji;</w:t>
      </w:r>
    </w:p>
    <w:p w14:paraId="6EA8981C"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prawną, podmiotem lub organem, do których prawa własności bezpośrednio lub pośrednio w ponad 50 % należą do podmiotu, o którym mowa w pkt 1 powyżej; lub</w:t>
      </w:r>
    </w:p>
    <w:p w14:paraId="54E0535F"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fizyczną lub prawną, podmiotem lub organem działającym w imieniu lub pod kierunkiem podmiotu, o którym mowa w pkt 1 lub pkt 2 powyżej,</w:t>
      </w:r>
    </w:p>
    <w:p w14:paraId="0A46213B" w14:textId="77777777" w:rsidR="00174F5A" w:rsidRPr="004D2A93" w:rsidRDefault="00174F5A" w:rsidP="00174F5A">
      <w:pPr>
        <w:pStyle w:val="Akapitzlist"/>
        <w:ind w:left="709"/>
        <w:rPr>
          <w:sz w:val="18"/>
          <w:szCs w:val="18"/>
        </w:rPr>
      </w:pPr>
    </w:p>
    <w:p w14:paraId="3F7580CB"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4D2A93">
        <w:rPr>
          <w:b/>
          <w:sz w:val="18"/>
          <w:szCs w:val="18"/>
        </w:rPr>
        <w:t>oświadczamy, że:</w:t>
      </w:r>
    </w:p>
    <w:p w14:paraId="19DAB39B" w14:textId="77777777" w:rsidR="00174F5A" w:rsidRPr="004D2A93" w:rsidRDefault="00174F5A" w:rsidP="004D2A93">
      <w:pPr>
        <w:numPr>
          <w:ilvl w:val="0"/>
          <w:numId w:val="105"/>
        </w:numPr>
        <w:tabs>
          <w:tab w:val="clear" w:pos="720"/>
        </w:tabs>
        <w:spacing w:after="0" w:line="240" w:lineRule="auto"/>
        <w:ind w:left="850" w:hanging="425"/>
        <w:jc w:val="both"/>
        <w:rPr>
          <w:rFonts w:ascii="Verdana" w:hAnsi="Verdana"/>
          <w:color w:val="222222"/>
          <w:sz w:val="18"/>
          <w:szCs w:val="18"/>
        </w:rPr>
      </w:pPr>
      <w:r w:rsidRPr="004D2A93">
        <w:rPr>
          <w:rFonts w:ascii="Verdana" w:hAnsi="Verdana"/>
          <w:color w:val="222222"/>
          <w:sz w:val="18"/>
          <w:szCs w:val="18"/>
        </w:rPr>
        <w:t>nie jesteśmy wymienieni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wpisani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ustawy z dnia 13 kwietnia 2022 r. o szczególnych </w:t>
      </w:r>
      <w:r w:rsidRPr="004D2A93">
        <w:rPr>
          <w:rFonts w:ascii="Verdana" w:hAnsi="Verdana"/>
          <w:color w:val="222222"/>
          <w:sz w:val="18"/>
          <w:szCs w:val="18"/>
        </w:rPr>
        <w:lastRenderedPageBreak/>
        <w:t>rozwiązaniach w zakresie przeciwdziałania wspieraniu agresji na Ukrainę oraz służących ochronie bezpieczeństwa narodowego;</w:t>
      </w:r>
    </w:p>
    <w:p w14:paraId="7628FC33" w14:textId="77777777"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4D2A93">
        <w:rPr>
          <w:rFonts w:ascii="Verdana" w:hAnsi="Verdana"/>
          <w:color w:val="222222"/>
          <w:sz w:val="18"/>
          <w:szCs w:val="18"/>
        </w:rPr>
        <w:t>naszym beneficjentem rzeczywistym w rozumieniu ustawy z dnia 1 marca 2018 r. o przeciwdzia</w:t>
      </w:r>
      <w:r w:rsidRPr="004D2A93">
        <w:rPr>
          <w:rFonts w:ascii="Verdana" w:hAnsi="Verdana" w:hint="eastAsia"/>
          <w:color w:val="222222"/>
          <w:sz w:val="18"/>
          <w:szCs w:val="18"/>
        </w:rPr>
        <w:t>ł</w:t>
      </w:r>
      <w:r w:rsidRPr="004D2A93">
        <w:rPr>
          <w:rFonts w:ascii="Verdana" w:hAnsi="Verdana"/>
          <w:color w:val="222222"/>
          <w:sz w:val="18"/>
          <w:szCs w:val="18"/>
        </w:rPr>
        <w:t>aniu praniu pieni</w:t>
      </w:r>
      <w:r w:rsidRPr="004D2A93">
        <w:rPr>
          <w:rFonts w:ascii="Verdana" w:hAnsi="Verdana" w:hint="eastAsia"/>
          <w:color w:val="222222"/>
          <w:sz w:val="18"/>
          <w:szCs w:val="18"/>
        </w:rPr>
        <w:t>ę</w:t>
      </w:r>
      <w:r w:rsidRPr="004D2A93">
        <w:rPr>
          <w:rFonts w:ascii="Verdana" w:hAnsi="Verdana"/>
          <w:color w:val="222222"/>
          <w:sz w:val="18"/>
          <w:szCs w:val="18"/>
        </w:rPr>
        <w:t>dzy oraz finansowaniu terroryzmu (Dz. U. z 2022 r. poz. 593 i 655) nie jest osoba wymieniona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ca takim beneficjentem rzeczywistym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a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1D6027E4" w14:textId="4CC2F8E4"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4D2A93">
        <w:rPr>
          <w:rFonts w:ascii="Verdana" w:hAnsi="Verdana"/>
          <w:color w:val="222222"/>
          <w:sz w:val="18"/>
          <w:szCs w:val="18"/>
        </w:rPr>
        <w:t>naszą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w rozumieniu art. 3 ust. 1 pkt 37 ustawy z dnia 29 wrze</w:t>
      </w:r>
      <w:r w:rsidRPr="004D2A93">
        <w:rPr>
          <w:rFonts w:ascii="Verdana" w:hAnsi="Verdana" w:hint="eastAsia"/>
          <w:color w:val="222222"/>
          <w:sz w:val="18"/>
          <w:szCs w:val="18"/>
        </w:rPr>
        <w:t>ś</w:t>
      </w:r>
      <w:r w:rsidRPr="004D2A93">
        <w:rPr>
          <w:rFonts w:ascii="Verdana" w:hAnsi="Verdana"/>
          <w:color w:val="222222"/>
          <w:sz w:val="18"/>
          <w:szCs w:val="18"/>
        </w:rPr>
        <w:t>nia 1994 r. o rachunkowo</w:t>
      </w:r>
      <w:r w:rsidRPr="004D2A93">
        <w:rPr>
          <w:rFonts w:ascii="Verdana" w:hAnsi="Verdana" w:hint="eastAsia"/>
          <w:color w:val="222222"/>
          <w:sz w:val="18"/>
          <w:szCs w:val="18"/>
        </w:rPr>
        <w:t>ś</w:t>
      </w:r>
      <w:r w:rsidRPr="004D2A93">
        <w:rPr>
          <w:rFonts w:ascii="Verdana" w:hAnsi="Verdana"/>
          <w:color w:val="222222"/>
          <w:sz w:val="18"/>
          <w:szCs w:val="18"/>
        </w:rPr>
        <w:t>ci (Dz. U. z 2021 r. poz. 217, 2105 i 2106), nie jest podmiot wymieniony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cy tak</w:t>
      </w:r>
      <w:r w:rsidRPr="004D2A93">
        <w:rPr>
          <w:rFonts w:ascii="Verdana" w:hAnsi="Verdana" w:hint="eastAsia"/>
          <w:color w:val="222222"/>
          <w:sz w:val="18"/>
          <w:szCs w:val="18"/>
        </w:rPr>
        <w:t>ą</w:t>
      </w:r>
      <w:r w:rsidRPr="004D2A93">
        <w:rPr>
          <w:rFonts w:ascii="Verdana" w:hAnsi="Verdana"/>
          <w:color w:val="222222"/>
          <w:sz w:val="18"/>
          <w:szCs w:val="18"/>
        </w:rPr>
        <w:t xml:space="preserve">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 xml:space="preserve">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listę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4D2A93" w:rsidRDefault="00B006E3" w:rsidP="004D2A93">
      <w:pPr>
        <w:jc w:val="both"/>
        <w:rPr>
          <w:b/>
        </w:rPr>
      </w:pPr>
      <w:r w:rsidRPr="004D2A93">
        <w:rPr>
          <w:b/>
        </w:rPr>
        <w:lastRenderedPageBreak/>
        <w:t xml:space="preserve">INFORMACJA </w:t>
      </w:r>
      <w:r w:rsidR="00174F5A" w:rsidRPr="004D2A93">
        <w:rPr>
          <w:b/>
        </w:rPr>
        <w:t xml:space="preserve">WYKONAWCY </w:t>
      </w:r>
      <w:r w:rsidRPr="004D2A93">
        <w:rPr>
          <w:b/>
        </w:rPr>
        <w:t xml:space="preserve">DOTYCZĄCA POLEGANIA NA ZDOLNOŚCIACH LUB </w:t>
      </w:r>
      <w:r w:rsidR="00D24277" w:rsidRPr="004D2A93">
        <w:rPr>
          <w:b/>
        </w:rPr>
        <w:t>SYTUACJI PODMIOTU UDOSTĘPNIAJĄCEGO ZASOBY / PODWYKONAWCY (NIEBĘDĄCEGO PODMIOTEM UDOSTĘPNIAJĄCYM ZASOBY</w:t>
      </w:r>
      <w:r w:rsidR="004F781A" w:rsidRPr="004D2A93">
        <w:rPr>
          <w:b/>
        </w:rPr>
        <w:t xml:space="preserve">) </w:t>
      </w:r>
      <w:r w:rsidR="00D24277" w:rsidRPr="004D2A93">
        <w:rPr>
          <w:b/>
        </w:rPr>
        <w:t xml:space="preserve">/ DOSTAWCY, </w:t>
      </w:r>
      <w:r w:rsidRPr="004D2A93">
        <w:rPr>
          <w:b/>
        </w:rPr>
        <w:t>W ZAKRESIE ODPOWIADAJĄCYM PONAD 10% WARTOŚCI ZAMÓWIENIA:</w:t>
      </w:r>
    </w:p>
    <w:p w14:paraId="3053CD11" w14:textId="77777777" w:rsidR="00C41346" w:rsidRPr="004D2A93" w:rsidRDefault="00B006E3" w:rsidP="00B006E3">
      <w:pPr>
        <w:spacing w:after="120" w:line="276" w:lineRule="auto"/>
        <w:jc w:val="both"/>
        <w:rPr>
          <w:rFonts w:ascii="Verdana" w:hAnsi="Verdana" w:cstheme="minorHAnsi"/>
          <w:i/>
          <w:color w:val="FF0000"/>
          <w:sz w:val="18"/>
          <w:szCs w:val="18"/>
        </w:rPr>
      </w:pPr>
      <w:bookmarkStart w:id="0" w:name="_Hlk99016800"/>
      <w:r w:rsidRPr="004D2A93">
        <w:rPr>
          <w:rFonts w:ascii="Verdana" w:hAnsi="Verdana" w:cstheme="minorHAnsi"/>
          <w:color w:val="FF0000"/>
          <w:sz w:val="18"/>
          <w:szCs w:val="18"/>
        </w:rPr>
        <w:t>[UWAGA</w:t>
      </w:r>
      <w:r w:rsidRPr="004D2A93">
        <w:rPr>
          <w:rFonts w:ascii="Verdana" w:hAnsi="Verdana" w:cstheme="minorHAnsi"/>
          <w:i/>
          <w:color w:val="FF0000"/>
          <w:sz w:val="18"/>
          <w:szCs w:val="18"/>
        </w:rPr>
        <w:t xml:space="preserve">: </w:t>
      </w:r>
      <w:r w:rsidR="00174F5A" w:rsidRPr="004D2A93">
        <w:rPr>
          <w:rFonts w:ascii="Verdana" w:hAnsi="Verdana" w:cstheme="minorHAnsi"/>
          <w:i/>
          <w:color w:val="FF0000"/>
          <w:sz w:val="18"/>
          <w:szCs w:val="18"/>
          <w:u w:val="single"/>
        </w:rPr>
        <w:t>Wypełnia jedynie Wykonawca!</w:t>
      </w:r>
      <w:r w:rsidR="00174F5A" w:rsidRPr="004D2A93">
        <w:rPr>
          <w:rFonts w:ascii="Verdana" w:hAnsi="Verdana" w:cstheme="minorHAnsi"/>
          <w:i/>
          <w:color w:val="FF0000"/>
          <w:sz w:val="18"/>
          <w:szCs w:val="18"/>
        </w:rPr>
        <w:t xml:space="preserve"> </w:t>
      </w:r>
    </w:p>
    <w:p w14:paraId="11E1D10C" w14:textId="2460CAE1" w:rsidR="00FC0024" w:rsidRPr="004D2A93" w:rsidRDefault="00B006E3" w:rsidP="00C41346">
      <w:pPr>
        <w:spacing w:after="120" w:line="276" w:lineRule="auto"/>
        <w:jc w:val="both"/>
        <w:rPr>
          <w:rFonts w:ascii="Verdana" w:hAnsi="Verdana" w:cstheme="minorHAnsi"/>
          <w:i/>
          <w:color w:val="FF0000"/>
          <w:sz w:val="18"/>
          <w:szCs w:val="18"/>
        </w:rPr>
      </w:pPr>
      <w:r w:rsidRPr="004D2A93">
        <w:rPr>
          <w:rFonts w:ascii="Verdana" w:hAnsi="Verdana" w:cstheme="minorHAnsi"/>
          <w:i/>
          <w:color w:val="FF0000"/>
          <w:sz w:val="18"/>
          <w:szCs w:val="18"/>
        </w:rPr>
        <w:t>W przypadku więcej niż jednego</w:t>
      </w:r>
      <w:r w:rsidR="00FC0024" w:rsidRPr="004D2A93">
        <w:rPr>
          <w:rFonts w:ascii="Verdana" w:hAnsi="Verdana" w:cstheme="minorHAnsi"/>
          <w:i/>
          <w:color w:val="FF0000"/>
          <w:sz w:val="18"/>
          <w:szCs w:val="18"/>
        </w:rPr>
        <w:t>:</w:t>
      </w:r>
    </w:p>
    <w:p w14:paraId="4DA36BA4" w14:textId="30B2FBEA" w:rsidR="00FC0024" w:rsidRPr="004D2A93" w:rsidRDefault="00B006E3"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podmiotu udostępniającego zasoby</w:t>
      </w:r>
      <w:r w:rsidR="00FC0024" w:rsidRPr="004D2A93">
        <w:rPr>
          <w:i/>
          <w:color w:val="FF0000"/>
          <w:sz w:val="18"/>
          <w:szCs w:val="18"/>
        </w:rPr>
        <w:t>,</w:t>
      </w:r>
      <w:r w:rsidR="0016324D" w:rsidRPr="004D2A93">
        <w:rPr>
          <w:i/>
          <w:color w:val="FF0000"/>
          <w:sz w:val="18"/>
          <w:szCs w:val="18"/>
        </w:rPr>
        <w:t xml:space="preserve"> na którego zdolnościach lub sytuacji </w:t>
      </w:r>
      <w:r w:rsidR="004F781A" w:rsidRPr="004D2A93">
        <w:rPr>
          <w:i/>
          <w:color w:val="FF0000"/>
          <w:sz w:val="18"/>
          <w:szCs w:val="18"/>
        </w:rPr>
        <w:t>W</w:t>
      </w:r>
      <w:r w:rsidR="0016324D" w:rsidRPr="004D2A93">
        <w:rPr>
          <w:i/>
          <w:color w:val="FF0000"/>
          <w:sz w:val="18"/>
          <w:szCs w:val="18"/>
        </w:rPr>
        <w:t>ykonawca polega</w:t>
      </w:r>
      <w:r w:rsidR="0081681A" w:rsidRPr="004D2A93">
        <w:rPr>
          <w:i/>
          <w:color w:val="FF0000"/>
          <w:sz w:val="18"/>
          <w:szCs w:val="18"/>
        </w:rPr>
        <w:t>;</w:t>
      </w:r>
    </w:p>
    <w:p w14:paraId="17660AE1" w14:textId="5D7713ED" w:rsidR="00614902"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w:t>
      </w:r>
      <w:r w:rsidR="00614902" w:rsidRPr="004D2A93">
        <w:rPr>
          <w:i/>
          <w:color w:val="FF0000"/>
          <w:sz w:val="18"/>
          <w:szCs w:val="18"/>
        </w:rPr>
        <w:t>odwykonawcy</w:t>
      </w:r>
      <w:r w:rsidRPr="004D2A93">
        <w:rPr>
          <w:i/>
          <w:color w:val="FF0000"/>
          <w:sz w:val="18"/>
          <w:szCs w:val="18"/>
        </w:rPr>
        <w:t xml:space="preserve"> (niebędącego podmiotem udostępniającym zasoby);</w:t>
      </w:r>
    </w:p>
    <w:p w14:paraId="7E7791C0" w14:textId="4DF441B5" w:rsidR="00836F90"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d</w:t>
      </w:r>
      <w:r w:rsidR="00FC0024" w:rsidRPr="004D2A93">
        <w:rPr>
          <w:i/>
          <w:color w:val="FF0000"/>
          <w:sz w:val="18"/>
          <w:szCs w:val="18"/>
        </w:rPr>
        <w:t>ostawcy</w:t>
      </w:r>
      <w:r w:rsidRPr="004D2A93">
        <w:rPr>
          <w:i/>
          <w:color w:val="FF0000"/>
          <w:sz w:val="18"/>
          <w:szCs w:val="18"/>
        </w:rPr>
        <w:t>,</w:t>
      </w:r>
    </w:p>
    <w:p w14:paraId="1867EF79" w14:textId="6776AD7C" w:rsidR="00B006E3" w:rsidRPr="004D2A93" w:rsidRDefault="00B006E3" w:rsidP="00C41346">
      <w:pPr>
        <w:spacing w:after="120" w:line="276" w:lineRule="auto"/>
        <w:jc w:val="both"/>
        <w:rPr>
          <w:rFonts w:ascii="Verdana" w:hAnsi="Verdana" w:cstheme="minorHAnsi"/>
          <w:color w:val="FF0000"/>
          <w:sz w:val="18"/>
          <w:szCs w:val="18"/>
        </w:rPr>
      </w:pPr>
      <w:r w:rsidRPr="004D2A93">
        <w:rPr>
          <w:rFonts w:ascii="Verdana" w:hAnsi="Verdana" w:cstheme="minorHAnsi"/>
          <w:i/>
          <w:color w:val="FF0000"/>
          <w:sz w:val="18"/>
          <w:szCs w:val="18"/>
        </w:rPr>
        <w:t xml:space="preserve">w zakresie odpowiadającym ponad 10% wartości zamówienia, należy </w:t>
      </w:r>
      <w:r w:rsidR="00836F90" w:rsidRPr="004D2A93">
        <w:rPr>
          <w:rFonts w:ascii="Verdana" w:hAnsi="Verdana" w:cstheme="minorHAnsi"/>
          <w:i/>
          <w:color w:val="FF0000"/>
          <w:sz w:val="18"/>
          <w:szCs w:val="18"/>
        </w:rPr>
        <w:t>powielić wiersze</w:t>
      </w:r>
      <w:r w:rsidRPr="004D2A93">
        <w:rPr>
          <w:rFonts w:ascii="Verdana" w:hAnsi="Verdana" w:cstheme="minorHAnsi"/>
          <w:i/>
          <w:color w:val="FF0000"/>
          <w:sz w:val="18"/>
          <w:szCs w:val="18"/>
        </w:rPr>
        <w:t xml:space="preserve"> </w:t>
      </w:r>
      <w:r w:rsidR="00D24277" w:rsidRPr="004D2A93">
        <w:rPr>
          <w:rFonts w:ascii="Verdana" w:hAnsi="Verdana" w:cstheme="minorHAnsi"/>
          <w:i/>
          <w:color w:val="FF0000"/>
          <w:sz w:val="18"/>
          <w:szCs w:val="18"/>
        </w:rPr>
        <w:t xml:space="preserve">poniższej tabeli </w:t>
      </w:r>
      <w:r w:rsidRPr="004D2A93">
        <w:rPr>
          <w:rFonts w:ascii="Verdana" w:hAnsi="Verdana" w:cstheme="minorHAnsi"/>
          <w:i/>
          <w:color w:val="FF0000"/>
          <w:sz w:val="18"/>
          <w:szCs w:val="18"/>
        </w:rPr>
        <w:t>tyle razy, ile jest to konieczne.</w:t>
      </w:r>
      <w:bookmarkEnd w:id="0"/>
      <w:r w:rsidR="00C41346" w:rsidRPr="004D2A93">
        <w:rPr>
          <w:rFonts w:ascii="Verdana" w:hAnsi="Verdana" w:cstheme="minorHAnsi"/>
          <w:color w:val="FF0000"/>
          <w:sz w:val="18"/>
          <w:szCs w:val="18"/>
        </w:rPr>
        <w:t>]</w:t>
      </w:r>
    </w:p>
    <w:p w14:paraId="2B3D8487" w14:textId="159551C5" w:rsidR="00836F90" w:rsidRPr="004D2A93" w:rsidRDefault="00836F90" w:rsidP="000B6C6C">
      <w:pPr>
        <w:spacing w:after="120" w:line="276" w:lineRule="auto"/>
        <w:ind w:left="426" w:hanging="426"/>
        <w:jc w:val="both"/>
        <w:rPr>
          <w:rFonts w:ascii="Verdana" w:hAnsi="Verdana" w:cstheme="minorHAnsi"/>
          <w:bCs/>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t xml:space="preserve">wskazuję, że w </w:t>
      </w:r>
      <w:r w:rsidR="004F781A" w:rsidRPr="004D2A93">
        <w:rPr>
          <w:rFonts w:ascii="Verdana" w:hAnsi="Verdana" w:cstheme="minorHAnsi"/>
          <w:b/>
          <w:sz w:val="18"/>
          <w:szCs w:val="18"/>
        </w:rPr>
        <w:t>P</w:t>
      </w:r>
      <w:r w:rsidRPr="004D2A93">
        <w:rPr>
          <w:rFonts w:ascii="Verdana" w:hAnsi="Verdana" w:cstheme="minorHAnsi"/>
          <w:b/>
          <w:sz w:val="18"/>
          <w:szCs w:val="18"/>
        </w:rPr>
        <w:t>ostępowaniu nie będę polegał na zdolnościach podmiot</w:t>
      </w:r>
      <w:r w:rsidR="004F781A" w:rsidRPr="004D2A93">
        <w:rPr>
          <w:rFonts w:ascii="Verdana" w:hAnsi="Verdana" w:cstheme="minorHAnsi"/>
          <w:b/>
          <w:sz w:val="18"/>
          <w:szCs w:val="18"/>
        </w:rPr>
        <w:t>ów udostępniających zasoby</w:t>
      </w:r>
      <w:r w:rsidRPr="004D2A93">
        <w:rPr>
          <w:rFonts w:ascii="Verdana" w:hAnsi="Verdana" w:cstheme="minorHAnsi"/>
          <w:b/>
          <w:sz w:val="18"/>
          <w:szCs w:val="18"/>
        </w:rPr>
        <w:t xml:space="preserve">/ </w:t>
      </w:r>
      <w:r w:rsidR="00FC0024" w:rsidRPr="004D2A93">
        <w:rPr>
          <w:rFonts w:ascii="Verdana" w:hAnsi="Verdana" w:cstheme="minorHAnsi"/>
          <w:b/>
          <w:sz w:val="18"/>
          <w:szCs w:val="18"/>
        </w:rPr>
        <w:t xml:space="preserve">korzystał z </w:t>
      </w:r>
      <w:r w:rsidRPr="004D2A93">
        <w:rPr>
          <w:rFonts w:ascii="Verdana" w:hAnsi="Verdana" w:cstheme="minorHAnsi"/>
          <w:b/>
          <w:sz w:val="18"/>
          <w:szCs w:val="18"/>
        </w:rPr>
        <w:t>podwykonawcy</w:t>
      </w:r>
      <w:r w:rsidR="00FC0024" w:rsidRPr="004D2A93">
        <w:rPr>
          <w:rFonts w:ascii="Verdana" w:hAnsi="Verdana" w:cstheme="minorHAnsi"/>
          <w:b/>
          <w:sz w:val="18"/>
          <w:szCs w:val="18"/>
        </w:rPr>
        <w:t>/dostawcy</w:t>
      </w:r>
      <w:r w:rsidR="00C41346" w:rsidRPr="004D2A93">
        <w:rPr>
          <w:rFonts w:ascii="Verdana" w:hAnsi="Verdana" w:cstheme="minorHAnsi"/>
          <w:b/>
          <w:sz w:val="18"/>
          <w:szCs w:val="18"/>
        </w:rPr>
        <w:t xml:space="preserve">, </w:t>
      </w:r>
      <w:r w:rsidRPr="004D2A93">
        <w:rPr>
          <w:rFonts w:ascii="Verdana" w:hAnsi="Verdana" w:cstheme="minorHAnsi"/>
          <w:bCs/>
          <w:sz w:val="18"/>
          <w:szCs w:val="18"/>
        </w:rPr>
        <w:t>na którego przypada ponad 10% wartości zamówienia.</w:t>
      </w:r>
    </w:p>
    <w:p w14:paraId="4C676002" w14:textId="7C774D2B" w:rsidR="00836F90" w:rsidRPr="004D2A93" w:rsidRDefault="00EC7899" w:rsidP="00B006E3">
      <w:pPr>
        <w:spacing w:after="120" w:line="276" w:lineRule="auto"/>
        <w:jc w:val="both"/>
        <w:rPr>
          <w:rFonts w:ascii="Verdana" w:hAnsi="Verdana" w:cstheme="minorHAnsi"/>
          <w:b/>
          <w:sz w:val="18"/>
          <w:szCs w:val="18"/>
        </w:rPr>
      </w:pPr>
      <w:r w:rsidRPr="004D2A93">
        <w:rPr>
          <w:rFonts w:ascii="Verdana" w:hAnsi="Verdana" w:cstheme="minorHAnsi"/>
          <w:b/>
          <w:sz w:val="18"/>
          <w:szCs w:val="18"/>
        </w:rPr>
        <w:t>a</w:t>
      </w:r>
      <w:r w:rsidR="00836F90" w:rsidRPr="004D2A93">
        <w:rPr>
          <w:rFonts w:ascii="Verdana" w:hAnsi="Verdana" w:cstheme="minorHAnsi"/>
          <w:b/>
          <w:sz w:val="18"/>
          <w:szCs w:val="18"/>
        </w:rPr>
        <w:t>lbo</w:t>
      </w:r>
    </w:p>
    <w:p w14:paraId="45EC568B" w14:textId="31D3C19D" w:rsidR="00EC7899" w:rsidRPr="004D2A93" w:rsidRDefault="00EC7899" w:rsidP="000B6C6C">
      <w:pPr>
        <w:spacing w:after="120" w:line="276" w:lineRule="auto"/>
        <w:ind w:left="426" w:hanging="426"/>
        <w:jc w:val="both"/>
        <w:rPr>
          <w:rFonts w:ascii="Verdana" w:hAnsi="Verdana" w:cstheme="minorHAnsi"/>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r>
      <w:r w:rsidR="00C41346" w:rsidRPr="004D2A93">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4D2A93">
        <w:rPr>
          <w:rFonts w:ascii="Verdana" w:hAnsi="Verdana" w:cstheme="minorHAnsi"/>
          <w:sz w:val="18"/>
          <w:szCs w:val="18"/>
        </w:rPr>
        <w:t xml:space="preserve">na którego przypada ponad 10% wartości zamówienia, </w:t>
      </w:r>
      <w:r w:rsidR="008B5210" w:rsidRPr="004D2A93">
        <w:rPr>
          <w:rFonts w:ascii="Verdana" w:hAnsi="Verdana" w:cstheme="minorHAnsi"/>
          <w:sz w:val="18"/>
          <w:szCs w:val="18"/>
        </w:rPr>
        <w:t>wymienionych poniżej</w:t>
      </w:r>
      <w:r w:rsidR="000A419A" w:rsidRPr="004D2A93">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130870" w14:paraId="24ED10B7" w14:textId="55F08114" w:rsidTr="004D2A93">
        <w:trPr>
          <w:trHeight w:val="411"/>
        </w:trPr>
        <w:tc>
          <w:tcPr>
            <w:tcW w:w="578" w:type="dxa"/>
            <w:shd w:val="clear" w:color="auto" w:fill="1A7466"/>
            <w:vAlign w:val="center"/>
          </w:tcPr>
          <w:p w14:paraId="70DC3A36" w14:textId="47DA6269" w:rsidR="004F781A" w:rsidRPr="004D2A93" w:rsidRDefault="004F781A" w:rsidP="000A419A">
            <w:pPr>
              <w:ind w:left="-35" w:firstLine="6"/>
              <w:jc w:val="center"/>
              <w:rPr>
                <w:rFonts w:eastAsia="Calibri"/>
                <w:b/>
                <w:sz w:val="16"/>
                <w:szCs w:val="16"/>
              </w:rPr>
            </w:pPr>
            <w:r w:rsidRPr="004D2A93">
              <w:rPr>
                <w:rFonts w:eastAsia="Calibri"/>
                <w:b/>
                <w:sz w:val="16"/>
                <w:szCs w:val="16"/>
              </w:rPr>
              <w:t xml:space="preserve">Lp. </w:t>
            </w:r>
          </w:p>
        </w:tc>
        <w:tc>
          <w:tcPr>
            <w:tcW w:w="2824" w:type="dxa"/>
            <w:shd w:val="clear" w:color="auto" w:fill="1A7466"/>
            <w:vAlign w:val="center"/>
          </w:tcPr>
          <w:p w14:paraId="384C8DF0" w14:textId="397FA4A6" w:rsidR="004F781A" w:rsidRPr="004D2A93" w:rsidRDefault="004F781A" w:rsidP="00614902">
            <w:pPr>
              <w:ind w:hanging="29"/>
              <w:jc w:val="center"/>
              <w:rPr>
                <w:rFonts w:eastAsia="Calibri"/>
                <w:b/>
                <w:sz w:val="16"/>
                <w:szCs w:val="16"/>
              </w:rPr>
            </w:pPr>
            <w:r w:rsidRPr="004D2A93">
              <w:rPr>
                <w:rFonts w:eastAsia="Calibri"/>
                <w:b/>
                <w:sz w:val="16"/>
                <w:szCs w:val="16"/>
              </w:rPr>
              <w:t>Funkcja</w:t>
            </w:r>
          </w:p>
          <w:p w14:paraId="2905B7AB" w14:textId="16932160" w:rsidR="004F781A" w:rsidRPr="004D2A93" w:rsidRDefault="004F781A" w:rsidP="00614902">
            <w:pPr>
              <w:jc w:val="center"/>
              <w:rPr>
                <w:rFonts w:eastAsia="Calibri"/>
                <w:b/>
                <w:sz w:val="16"/>
                <w:szCs w:val="16"/>
              </w:rPr>
            </w:pPr>
            <w:r w:rsidRPr="004D2A93">
              <w:rPr>
                <w:rFonts w:eastAsia="Calibri"/>
                <w:b/>
                <w:sz w:val="16"/>
                <w:szCs w:val="16"/>
              </w:rPr>
              <w:t>(Podmiot udostępniający zasoby/ podwykonawca/ dostawca)</w:t>
            </w:r>
            <w:r w:rsidRPr="004D2A93">
              <w:rPr>
                <w:rStyle w:val="Odwoanieprzypisudolnego"/>
                <w:rFonts w:eastAsia="Calibri"/>
                <w:b/>
                <w:sz w:val="16"/>
                <w:szCs w:val="16"/>
              </w:rPr>
              <w:footnoteReference w:id="2"/>
            </w:r>
          </w:p>
        </w:tc>
        <w:tc>
          <w:tcPr>
            <w:tcW w:w="1701" w:type="dxa"/>
            <w:shd w:val="clear" w:color="auto" w:fill="1A7466"/>
            <w:vAlign w:val="center"/>
          </w:tcPr>
          <w:p w14:paraId="5B63F64F" w14:textId="0D82A377" w:rsidR="004F781A" w:rsidRPr="004D2A93" w:rsidRDefault="004F781A" w:rsidP="003453B9">
            <w:pPr>
              <w:ind w:left="-17"/>
              <w:jc w:val="center"/>
              <w:rPr>
                <w:rFonts w:eastAsia="Calibri"/>
                <w:b/>
                <w:sz w:val="16"/>
                <w:szCs w:val="16"/>
              </w:rPr>
            </w:pPr>
            <w:r w:rsidRPr="004D2A93">
              <w:rPr>
                <w:rFonts w:eastAsia="Calibri"/>
                <w:b/>
                <w:sz w:val="16"/>
                <w:szCs w:val="16"/>
              </w:rPr>
              <w:t>Pełna nazwa/firma</w:t>
            </w:r>
          </w:p>
        </w:tc>
        <w:tc>
          <w:tcPr>
            <w:tcW w:w="1809" w:type="dxa"/>
            <w:shd w:val="clear" w:color="auto" w:fill="1A7466"/>
            <w:vAlign w:val="center"/>
          </w:tcPr>
          <w:p w14:paraId="08C2E0FF" w14:textId="33405189" w:rsidR="004F781A" w:rsidRPr="004D2A93" w:rsidRDefault="004F781A" w:rsidP="00614902">
            <w:pPr>
              <w:ind w:hanging="4"/>
              <w:jc w:val="center"/>
              <w:rPr>
                <w:rFonts w:eastAsia="Calibri"/>
                <w:b/>
                <w:sz w:val="16"/>
                <w:szCs w:val="16"/>
              </w:rPr>
            </w:pPr>
            <w:r w:rsidRPr="004D2A93">
              <w:rPr>
                <w:rFonts w:eastAsia="Calibri"/>
                <w:b/>
                <w:sz w:val="16"/>
                <w:szCs w:val="16"/>
              </w:rPr>
              <w:t>Adres</w:t>
            </w:r>
          </w:p>
        </w:tc>
        <w:tc>
          <w:tcPr>
            <w:tcW w:w="1452" w:type="dxa"/>
            <w:shd w:val="clear" w:color="auto" w:fill="1A7466"/>
            <w:vAlign w:val="center"/>
          </w:tcPr>
          <w:p w14:paraId="1ED8C161" w14:textId="5B4B8FA4" w:rsidR="004F781A" w:rsidRPr="004D2A93" w:rsidRDefault="004F781A" w:rsidP="00614902">
            <w:pPr>
              <w:jc w:val="center"/>
              <w:rPr>
                <w:rFonts w:eastAsia="Calibri"/>
                <w:b/>
                <w:sz w:val="16"/>
                <w:szCs w:val="16"/>
              </w:rPr>
            </w:pPr>
            <w:r w:rsidRPr="004D2A93">
              <w:rPr>
                <w:rFonts w:eastAsia="Calibri"/>
                <w:b/>
                <w:sz w:val="16"/>
                <w:szCs w:val="16"/>
              </w:rPr>
              <w:t>NIP/PESEL</w:t>
            </w:r>
          </w:p>
        </w:tc>
        <w:tc>
          <w:tcPr>
            <w:tcW w:w="1559" w:type="dxa"/>
            <w:shd w:val="clear" w:color="auto" w:fill="1A7466"/>
            <w:vAlign w:val="center"/>
          </w:tcPr>
          <w:p w14:paraId="0694C2EC" w14:textId="35BAC8CC" w:rsidR="004F781A" w:rsidRPr="004D2A93" w:rsidRDefault="004F781A" w:rsidP="00614902">
            <w:pPr>
              <w:jc w:val="center"/>
              <w:rPr>
                <w:rFonts w:eastAsia="Calibri"/>
                <w:b/>
                <w:sz w:val="16"/>
                <w:szCs w:val="16"/>
              </w:rPr>
            </w:pPr>
            <w:r w:rsidRPr="004D2A93">
              <w:rPr>
                <w:rFonts w:eastAsia="Calibri"/>
                <w:b/>
                <w:sz w:val="16"/>
                <w:szCs w:val="16"/>
              </w:rPr>
              <w:t>KRS/CEiDG</w:t>
            </w:r>
          </w:p>
        </w:tc>
      </w:tr>
      <w:tr w:rsidR="004F781A" w:rsidRPr="00130870" w14:paraId="158D6A2E" w14:textId="1406855E" w:rsidTr="004D2A93">
        <w:trPr>
          <w:trHeight w:val="411"/>
        </w:trPr>
        <w:tc>
          <w:tcPr>
            <w:tcW w:w="578" w:type="dxa"/>
          </w:tcPr>
          <w:p w14:paraId="09F03203"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A0D3EF5"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0E5E2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59373260" w14:textId="77777777" w:rsidR="004F781A" w:rsidRPr="004D2A93" w:rsidRDefault="004F781A" w:rsidP="00D24277">
            <w:pPr>
              <w:ind w:left="360"/>
              <w:jc w:val="center"/>
              <w:rPr>
                <w:rFonts w:eastAsia="Calibri"/>
                <w:b/>
                <w:sz w:val="18"/>
                <w:szCs w:val="18"/>
                <w:highlight w:val="cyan"/>
              </w:rPr>
            </w:pPr>
          </w:p>
        </w:tc>
      </w:tr>
      <w:tr w:rsidR="004F781A" w:rsidRPr="00130870" w14:paraId="79A2A521" w14:textId="77777777" w:rsidTr="004D2A93">
        <w:trPr>
          <w:trHeight w:val="411"/>
        </w:trPr>
        <w:tc>
          <w:tcPr>
            <w:tcW w:w="578" w:type="dxa"/>
          </w:tcPr>
          <w:p w14:paraId="53A135C0"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181F1E0D"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7CD093B0"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68BEC544" w14:textId="77777777" w:rsidR="004F781A" w:rsidRPr="004D2A93" w:rsidRDefault="004F781A" w:rsidP="00D24277">
            <w:pPr>
              <w:ind w:left="360"/>
              <w:jc w:val="center"/>
              <w:rPr>
                <w:rFonts w:eastAsia="Calibri"/>
                <w:b/>
                <w:sz w:val="18"/>
                <w:szCs w:val="18"/>
                <w:highlight w:val="cyan"/>
              </w:rPr>
            </w:pPr>
          </w:p>
        </w:tc>
      </w:tr>
      <w:tr w:rsidR="004F781A" w:rsidRPr="00130870" w14:paraId="16DA09A1" w14:textId="77777777" w:rsidTr="004D2A93">
        <w:trPr>
          <w:trHeight w:val="411"/>
        </w:trPr>
        <w:tc>
          <w:tcPr>
            <w:tcW w:w="578" w:type="dxa"/>
          </w:tcPr>
          <w:p w14:paraId="627E10C5"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C992A01"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AED58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0E561115" w14:textId="77777777" w:rsidR="004F781A" w:rsidRPr="004D2A93" w:rsidRDefault="004F781A" w:rsidP="00D24277">
            <w:pPr>
              <w:ind w:left="360"/>
              <w:jc w:val="center"/>
              <w:rPr>
                <w:rFonts w:eastAsia="Calibri"/>
                <w:b/>
                <w:sz w:val="18"/>
                <w:szCs w:val="18"/>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23B77350" w:rsidR="00EC7899" w:rsidRPr="004D2A93" w:rsidRDefault="00EC7899" w:rsidP="00AF52EE">
      <w:pPr>
        <w:spacing w:after="120" w:line="276" w:lineRule="auto"/>
        <w:jc w:val="both"/>
        <w:rPr>
          <w:rFonts w:ascii="Verdana" w:hAnsi="Verdana" w:cstheme="minorHAnsi"/>
          <w:color w:val="FF0000"/>
          <w:sz w:val="18"/>
          <w:szCs w:val="18"/>
        </w:rPr>
      </w:pPr>
      <w:r w:rsidRPr="004D2A93">
        <w:rPr>
          <w:rFonts w:ascii="Verdana" w:hAnsi="Verdana" w:cstheme="minorHAnsi"/>
          <w:b/>
          <w:sz w:val="18"/>
          <w:szCs w:val="18"/>
        </w:rPr>
        <w:t xml:space="preserve">oświadczam, że w stosunku do żadnego z ww. podmiotów </w:t>
      </w:r>
      <w:r w:rsidR="004F781A" w:rsidRPr="004D2A93">
        <w:rPr>
          <w:rFonts w:ascii="Verdana" w:hAnsi="Verdana" w:cstheme="minorHAnsi"/>
          <w:b/>
          <w:sz w:val="18"/>
          <w:szCs w:val="18"/>
        </w:rPr>
        <w:t xml:space="preserve">udostępniających zasoby, </w:t>
      </w:r>
      <w:r w:rsidR="00FC0024" w:rsidRPr="004D2A93">
        <w:rPr>
          <w:rFonts w:ascii="Verdana" w:hAnsi="Verdana" w:cstheme="minorHAnsi"/>
          <w:b/>
          <w:sz w:val="18"/>
          <w:szCs w:val="18"/>
        </w:rPr>
        <w:t>podwykonawców i dostawców</w:t>
      </w:r>
      <w:r w:rsidRPr="004D2A93">
        <w:rPr>
          <w:rFonts w:ascii="Verdana" w:hAnsi="Verdana" w:cstheme="minorHAnsi"/>
          <w:b/>
          <w:sz w:val="18"/>
          <w:szCs w:val="18"/>
        </w:rPr>
        <w:t xml:space="preserve">, nie zachodzą żadne przesłanki wskazane w art. 5 k </w:t>
      </w:r>
      <w:r w:rsidRPr="004D2A93">
        <w:rPr>
          <w:rFonts w:ascii="Verdana" w:hAnsi="Verdana" w:cstheme="minorHAnsi"/>
          <w:b/>
          <w:bCs/>
          <w:sz w:val="18"/>
          <w:szCs w:val="18"/>
        </w:rPr>
        <w:t xml:space="preserve">Rozporządzenia 833/2014, w brzmieniu nadanym rozporządzeniem Rady (UE) 2022/576 oraz </w:t>
      </w:r>
      <w:r w:rsidRPr="004D2A93">
        <w:rPr>
          <w:rFonts w:ascii="Verdana" w:hAnsi="Verdana" w:cstheme="minorHAnsi"/>
          <w:b/>
          <w:sz w:val="18"/>
          <w:szCs w:val="18"/>
        </w:rPr>
        <w:t xml:space="preserve">art. </w:t>
      </w:r>
      <w:r w:rsidRPr="004D2A93">
        <w:rPr>
          <w:rFonts w:ascii="Verdana" w:eastAsia="Times New Roman" w:hAnsi="Verdana" w:cstheme="minorHAnsi"/>
          <w:b/>
          <w:color w:val="222222"/>
          <w:sz w:val="18"/>
          <w:szCs w:val="18"/>
          <w:lang w:eastAsia="pl-PL"/>
        </w:rPr>
        <w:t xml:space="preserve">7 ust. 1 ustawy </w:t>
      </w:r>
      <w:r w:rsidRPr="004D2A93">
        <w:rPr>
          <w:rFonts w:ascii="Verdana" w:hAnsi="Verdana" w:cstheme="minorHAnsi"/>
          <w:b/>
          <w:color w:val="222222"/>
          <w:sz w:val="18"/>
          <w:szCs w:val="18"/>
        </w:rPr>
        <w:t>z dnia 13 kwietnia 2022 r.</w:t>
      </w:r>
      <w:r w:rsidRPr="004D2A93">
        <w:rPr>
          <w:rFonts w:ascii="Verdana" w:hAnsi="Verdana" w:cstheme="minorHAnsi"/>
          <w:b/>
          <w:iCs/>
          <w:color w:val="222222"/>
          <w:sz w:val="18"/>
          <w:szCs w:val="18"/>
        </w:rPr>
        <w:t xml:space="preserve"> o</w:t>
      </w:r>
      <w:r w:rsidR="004F781A" w:rsidRPr="004D2A93">
        <w:rPr>
          <w:rFonts w:ascii="Verdana" w:hAnsi="Verdana" w:cstheme="minorHAnsi"/>
          <w:b/>
          <w:iCs/>
          <w:color w:val="222222"/>
          <w:sz w:val="18"/>
          <w:szCs w:val="18"/>
        </w:rPr>
        <w:t> </w:t>
      </w:r>
      <w:r w:rsidRPr="004D2A93">
        <w:rPr>
          <w:rFonts w:ascii="Verdana" w:hAnsi="Verdana" w:cstheme="minorHAnsi"/>
          <w:b/>
          <w:iCs/>
          <w:color w:val="222222"/>
          <w:sz w:val="18"/>
          <w:szCs w:val="18"/>
        </w:rPr>
        <w:t xml:space="preserve">szczególnych rozwiązaniach w zakresie przeciwdziałania wspieraniu agresji na Ukrainę oraz służących ochronie bezpieczeństwa narodowego </w:t>
      </w:r>
      <w:r w:rsidR="00426815" w:rsidRPr="004D2A93">
        <w:rPr>
          <w:rFonts w:ascii="Verdana" w:hAnsi="Verdana" w:cstheme="minorHAnsi"/>
          <w:b/>
          <w:iCs/>
          <w:color w:val="222222"/>
          <w:sz w:val="18"/>
          <w:szCs w:val="18"/>
        </w:rPr>
        <w:t>(t.j. Dz. U. z 2023 r., poz. 1497 z późn. zm.).</w:t>
      </w:r>
      <w:r w:rsidR="00426815" w:rsidRPr="004D2A93" w:rsidDel="00426815">
        <w:rPr>
          <w:rFonts w:ascii="Verdana" w:hAnsi="Verdana" w:cstheme="minorHAnsi"/>
          <w:b/>
          <w:color w:val="222222"/>
          <w:sz w:val="18"/>
          <w:szCs w:val="18"/>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27601C86" w14:textId="77777777" w:rsidR="00FD3044"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 xml:space="preserve">Oświadczam, że wszystkie informacje podane w powyższych oświadczeniach są aktualne </w:t>
      </w:r>
      <w:r w:rsidRPr="004D2A93">
        <w:rPr>
          <w:rFonts w:ascii="Verdana" w:hAnsi="Verdana" w:cstheme="minorHAnsi"/>
          <w:sz w:val="18"/>
          <w:szCs w:val="18"/>
        </w:rPr>
        <w:br/>
        <w:t>i zgodne z prawdą oraz zostały przedstawione z pełną świadomością konsekwencji wprowadzenia zamawiającego w błąd przy przedstawianiu informacji.</w:t>
      </w:r>
    </w:p>
    <w:p w14:paraId="2D3308D6" w14:textId="77777777" w:rsidR="00FD3044" w:rsidRPr="004D2A93" w:rsidRDefault="00FD3044" w:rsidP="004D2A93">
      <w:pPr>
        <w:spacing w:after="0" w:line="240" w:lineRule="auto"/>
        <w:jc w:val="both"/>
        <w:rPr>
          <w:rFonts w:ascii="Verdana" w:hAnsi="Verdana" w:cstheme="minorHAnsi"/>
          <w:sz w:val="18"/>
          <w:szCs w:val="18"/>
        </w:rPr>
      </w:pPr>
    </w:p>
    <w:p w14:paraId="19E6D083" w14:textId="7AFE7241" w:rsidR="00B006E3"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6D9F21A" w14:textId="77777777" w:rsidR="00174F5A" w:rsidRPr="004D2A93" w:rsidRDefault="00174F5A" w:rsidP="00174F5A">
      <w:pPr>
        <w:pStyle w:val="Nagwek1"/>
        <w:keepNext w:val="0"/>
        <w:keepLines w:val="0"/>
        <w:tabs>
          <w:tab w:val="left" w:pos="708"/>
        </w:tabs>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3229B859" w14:textId="77777777"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0591ED33" w14:textId="2245B6A8"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690BFB74" w14:textId="77777777" w:rsidR="00B06F61" w:rsidRPr="004D2A93" w:rsidRDefault="00B06F61" w:rsidP="00B06F61">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4D2A93" w:rsidRDefault="00B06F61" w:rsidP="000A419A">
      <w:pPr>
        <w:pStyle w:val="Nagwek1"/>
        <w:keepNext w:val="0"/>
        <w:keepLines w:val="0"/>
        <w:suppressAutoHyphens/>
        <w:spacing w:before="120" w:after="120" w:line="240" w:lineRule="auto"/>
        <w:ind w:right="-284"/>
        <w:rPr>
          <w:b w:val="0"/>
          <w:i/>
          <w:sz w:val="14"/>
          <w:szCs w:val="14"/>
        </w:rPr>
      </w:pPr>
      <w:r w:rsidRPr="004D2A93">
        <w:rPr>
          <w:b w:val="0"/>
          <w:i/>
          <w:caps w:val="0"/>
          <w:sz w:val="14"/>
          <w:szCs w:val="14"/>
          <w:lang w:val="pl-PL"/>
        </w:rPr>
        <w:t>* Niewłaściwe skreślić</w:t>
      </w:r>
    </w:p>
    <w:sectPr w:rsidR="00B06F61" w:rsidRPr="004D2A93"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C12B" w14:textId="77777777" w:rsidR="001D4E0F" w:rsidRDefault="001D4E0F" w:rsidP="001868FA">
      <w:pPr>
        <w:spacing w:after="0" w:line="240" w:lineRule="auto"/>
      </w:pPr>
      <w:r>
        <w:separator/>
      </w:r>
    </w:p>
  </w:endnote>
  <w:endnote w:type="continuationSeparator" w:id="0">
    <w:p w14:paraId="370B1F0B" w14:textId="77777777" w:rsidR="001D4E0F" w:rsidRDefault="001D4E0F" w:rsidP="001868FA">
      <w:pPr>
        <w:spacing w:after="0" w:line="240" w:lineRule="auto"/>
      </w:pPr>
      <w:r>
        <w:continuationSeparator/>
      </w:r>
    </w:p>
  </w:endnote>
  <w:endnote w:type="continuationNotice" w:id="1">
    <w:p w14:paraId="2311F2A0" w14:textId="77777777" w:rsidR="001D4E0F" w:rsidRDefault="001D4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65F6168"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F27DD5">
              <w:rPr>
                <w:rFonts w:ascii="Trebuchet MS" w:hAnsi="Trebuchet MS"/>
                <w:b/>
                <w:bCs/>
                <w:noProof/>
              </w:rPr>
              <w:t>3</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F27DD5">
              <w:rPr>
                <w:rFonts w:ascii="Trebuchet MS" w:hAnsi="Trebuchet MS"/>
                <w:b/>
                <w:bCs/>
                <w:noProof/>
              </w:rPr>
              <w:t>3</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AF399" w14:textId="77777777" w:rsidR="001D4E0F" w:rsidRDefault="001D4E0F" w:rsidP="001868FA">
      <w:pPr>
        <w:spacing w:after="0" w:line="240" w:lineRule="auto"/>
      </w:pPr>
      <w:r>
        <w:separator/>
      </w:r>
    </w:p>
  </w:footnote>
  <w:footnote w:type="continuationSeparator" w:id="0">
    <w:p w14:paraId="100F7337" w14:textId="77777777" w:rsidR="001D4E0F" w:rsidRDefault="001D4E0F" w:rsidP="001868FA">
      <w:pPr>
        <w:spacing w:after="0" w:line="240" w:lineRule="auto"/>
      </w:pPr>
      <w:r>
        <w:continuationSeparator/>
      </w:r>
    </w:p>
  </w:footnote>
  <w:footnote w:type="continuationNotice" w:id="1">
    <w:p w14:paraId="607C5BAC" w14:textId="77777777" w:rsidR="001D4E0F" w:rsidRDefault="001D4E0F">
      <w:pPr>
        <w:spacing w:after="0" w:line="240" w:lineRule="auto"/>
      </w:pPr>
    </w:p>
  </w:footnote>
  <w:footnote w:id="2">
    <w:p w14:paraId="257422F0" w14:textId="334BACB5"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A5C38F2" w14:textId="77777777" w:rsidR="0068362D" w:rsidRPr="0068362D" w:rsidRDefault="0068362D" w:rsidP="0068362D">
          <w:pPr>
            <w:suppressAutoHyphens/>
            <w:ind w:right="187"/>
            <w:rPr>
              <w:rFonts w:asciiTheme="majorHAnsi" w:hAnsiTheme="majorHAnsi"/>
              <w:color w:val="000000" w:themeColor="text1"/>
              <w:sz w:val="14"/>
              <w:szCs w:val="18"/>
            </w:rPr>
          </w:pPr>
          <w:r w:rsidRPr="0068362D">
            <w:rPr>
              <w:rFonts w:asciiTheme="majorHAnsi" w:hAnsiTheme="majorHAnsi"/>
              <w:color w:val="000000" w:themeColor="text1"/>
              <w:sz w:val="14"/>
              <w:szCs w:val="18"/>
            </w:rPr>
            <w:t xml:space="preserve">Sukcesywna dostawa kompaktowych węzłów cieplnych dla PGE Toruń oraz dla PGE Energia Ciepła Oddział Szczecin </w:t>
          </w:r>
        </w:p>
        <w:p w14:paraId="56BF67E0" w14:textId="5F01499E" w:rsidR="00E51574" w:rsidRPr="00E14220" w:rsidRDefault="0068362D" w:rsidP="0068362D">
          <w:pPr>
            <w:suppressAutoHyphens/>
            <w:ind w:right="187"/>
            <w:rPr>
              <w:rFonts w:asciiTheme="majorHAnsi" w:hAnsiTheme="majorHAnsi"/>
              <w:color w:val="000000" w:themeColor="text1"/>
              <w:sz w:val="14"/>
              <w:szCs w:val="18"/>
            </w:rPr>
          </w:pPr>
          <w:r w:rsidRPr="0068362D">
            <w:rPr>
              <w:rFonts w:asciiTheme="majorHAnsi" w:hAnsiTheme="majorHAnsi"/>
              <w:color w:val="000000" w:themeColor="text1"/>
              <w:sz w:val="14"/>
              <w:szCs w:val="18"/>
            </w:rPr>
            <w:t>POST/PEC/PEC/UZB/00782/2025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20989790"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6572CAC" w14:textId="77777777" w:rsidR="0068362D" w:rsidRPr="0068362D" w:rsidRDefault="0068362D" w:rsidP="0068362D">
          <w:pPr>
            <w:suppressAutoHyphens/>
            <w:ind w:right="187"/>
            <w:rPr>
              <w:rFonts w:asciiTheme="majorHAnsi" w:hAnsiTheme="majorHAnsi"/>
              <w:color w:val="000000" w:themeColor="text1"/>
              <w:sz w:val="14"/>
              <w:szCs w:val="18"/>
            </w:rPr>
          </w:pPr>
          <w:r w:rsidRPr="0068362D">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7959817F" w:rsidR="00E51574" w:rsidRPr="00E14220" w:rsidRDefault="0068362D" w:rsidP="0068362D">
          <w:pPr>
            <w:suppressAutoHyphens/>
            <w:ind w:right="187"/>
            <w:rPr>
              <w:rFonts w:asciiTheme="majorHAnsi" w:hAnsiTheme="majorHAnsi"/>
              <w:color w:val="000000" w:themeColor="text1"/>
              <w:sz w:val="14"/>
              <w:szCs w:val="18"/>
            </w:rPr>
          </w:pPr>
          <w:r w:rsidRPr="0068362D">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20989791"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26066041">
    <w:abstractNumId w:val="46"/>
  </w:num>
  <w:num w:numId="2" w16cid:durableId="928198504">
    <w:abstractNumId w:val="33"/>
  </w:num>
  <w:num w:numId="3" w16cid:durableId="1964072830">
    <w:abstractNumId w:val="93"/>
  </w:num>
  <w:num w:numId="4" w16cid:durableId="1421296987">
    <w:abstractNumId w:val="52"/>
  </w:num>
  <w:num w:numId="5" w16cid:durableId="236785310">
    <w:abstractNumId w:val="23"/>
  </w:num>
  <w:num w:numId="6" w16cid:durableId="1839467065">
    <w:abstractNumId w:val="59"/>
  </w:num>
  <w:num w:numId="7" w16cid:durableId="163253933">
    <w:abstractNumId w:val="43"/>
  </w:num>
  <w:num w:numId="8" w16cid:durableId="786891307">
    <w:abstractNumId w:val="74"/>
  </w:num>
  <w:num w:numId="9" w16cid:durableId="1550220808">
    <w:abstractNumId w:val="36"/>
  </w:num>
  <w:num w:numId="10" w16cid:durableId="1829977217">
    <w:abstractNumId w:val="34"/>
  </w:num>
  <w:num w:numId="11" w16cid:durableId="721518502">
    <w:abstractNumId w:val="78"/>
  </w:num>
  <w:num w:numId="12" w16cid:durableId="2020158697">
    <w:abstractNumId w:val="91"/>
  </w:num>
  <w:num w:numId="13" w16cid:durableId="334723781">
    <w:abstractNumId w:val="61"/>
  </w:num>
  <w:num w:numId="14" w16cid:durableId="222330606">
    <w:abstractNumId w:val="48"/>
  </w:num>
  <w:num w:numId="15" w16cid:durableId="267202855">
    <w:abstractNumId w:val="13"/>
  </w:num>
  <w:num w:numId="16" w16cid:durableId="629937466">
    <w:abstractNumId w:val="26"/>
  </w:num>
  <w:num w:numId="17" w16cid:durableId="2041474554">
    <w:abstractNumId w:val="112"/>
  </w:num>
  <w:num w:numId="18" w16cid:durableId="1052268833">
    <w:abstractNumId w:val="98"/>
  </w:num>
  <w:num w:numId="19" w16cid:durableId="1311246455">
    <w:abstractNumId w:val="1"/>
  </w:num>
  <w:num w:numId="20" w16cid:durableId="405225235">
    <w:abstractNumId w:val="31"/>
  </w:num>
  <w:num w:numId="21" w16cid:durableId="1120614416">
    <w:abstractNumId w:val="0"/>
  </w:num>
  <w:num w:numId="22" w16cid:durableId="265425632">
    <w:abstractNumId w:val="65"/>
    <w:lvlOverride w:ilvl="0">
      <w:startOverride w:val="1"/>
    </w:lvlOverride>
  </w:num>
  <w:num w:numId="23" w16cid:durableId="1472357772">
    <w:abstractNumId w:val="64"/>
  </w:num>
  <w:num w:numId="24" w16cid:durableId="1472403928">
    <w:abstractNumId w:val="103"/>
  </w:num>
  <w:num w:numId="25" w16cid:durableId="301034760">
    <w:abstractNumId w:val="16"/>
  </w:num>
  <w:num w:numId="26" w16cid:durableId="1518157094">
    <w:abstractNumId w:val="108"/>
  </w:num>
  <w:num w:numId="27" w16cid:durableId="1292514977">
    <w:abstractNumId w:val="66"/>
  </w:num>
  <w:num w:numId="28" w16cid:durableId="1365331919">
    <w:abstractNumId w:val="40"/>
  </w:num>
  <w:num w:numId="29" w16cid:durableId="659358144">
    <w:abstractNumId w:val="73"/>
  </w:num>
  <w:num w:numId="30" w16cid:durableId="1738479549">
    <w:abstractNumId w:val="84"/>
  </w:num>
  <w:num w:numId="31" w16cid:durableId="1601720111">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0204403">
    <w:abstractNumId w:val="44"/>
  </w:num>
  <w:num w:numId="33" w16cid:durableId="190155491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35889384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2064985432">
    <w:abstractNumId w:val="49"/>
  </w:num>
  <w:num w:numId="36" w16cid:durableId="1050612126">
    <w:abstractNumId w:val="71"/>
  </w:num>
  <w:num w:numId="37" w16cid:durableId="647706341">
    <w:abstractNumId w:val="55"/>
  </w:num>
  <w:num w:numId="38" w16cid:durableId="1238975229">
    <w:abstractNumId w:val="54"/>
    <w:lvlOverride w:ilvl="0">
      <w:startOverride w:val="1"/>
    </w:lvlOverride>
  </w:num>
  <w:num w:numId="39" w16cid:durableId="1870332664">
    <w:abstractNumId w:val="82"/>
    <w:lvlOverride w:ilvl="0">
      <w:startOverride w:val="1"/>
    </w:lvlOverride>
  </w:num>
  <w:num w:numId="40" w16cid:durableId="607858747">
    <w:abstractNumId w:val="32"/>
  </w:num>
  <w:num w:numId="41" w16cid:durableId="31346815">
    <w:abstractNumId w:val="88"/>
  </w:num>
  <w:num w:numId="42" w16cid:durableId="19834589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67249600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2087025019">
    <w:abstractNumId w:val="58"/>
  </w:num>
  <w:num w:numId="45" w16cid:durableId="1719893263">
    <w:abstractNumId w:val="9"/>
  </w:num>
  <w:num w:numId="46" w16cid:durableId="876625986">
    <w:abstractNumId w:val="41"/>
  </w:num>
  <w:num w:numId="47" w16cid:durableId="298806904">
    <w:abstractNumId w:val="3"/>
  </w:num>
  <w:num w:numId="48" w16cid:durableId="97220534">
    <w:abstractNumId w:val="60"/>
  </w:num>
  <w:num w:numId="49" w16cid:durableId="1171259596">
    <w:abstractNumId w:val="85"/>
  </w:num>
  <w:num w:numId="50" w16cid:durableId="1248461804">
    <w:abstractNumId w:val="53"/>
  </w:num>
  <w:num w:numId="51" w16cid:durableId="1137452432">
    <w:abstractNumId w:val="96"/>
  </w:num>
  <w:num w:numId="52" w16cid:durableId="455758456">
    <w:abstractNumId w:val="25"/>
  </w:num>
  <w:num w:numId="53" w16cid:durableId="365175859">
    <w:abstractNumId w:val="37"/>
  </w:num>
  <w:num w:numId="54" w16cid:durableId="2001808810">
    <w:abstractNumId w:val="102"/>
  </w:num>
  <w:num w:numId="55" w16cid:durableId="527792986">
    <w:abstractNumId w:val="7"/>
  </w:num>
  <w:num w:numId="56" w16cid:durableId="613056124">
    <w:abstractNumId w:val="21"/>
  </w:num>
  <w:num w:numId="57" w16cid:durableId="2113015900">
    <w:abstractNumId w:val="38"/>
  </w:num>
  <w:num w:numId="58" w16cid:durableId="451284540">
    <w:abstractNumId w:val="11"/>
  </w:num>
  <w:num w:numId="59" w16cid:durableId="584460566">
    <w:abstractNumId w:val="68"/>
  </w:num>
  <w:num w:numId="60" w16cid:durableId="818545569">
    <w:abstractNumId w:val="95"/>
  </w:num>
  <w:num w:numId="61" w16cid:durableId="2146466490">
    <w:abstractNumId w:val="22"/>
  </w:num>
  <w:num w:numId="62" w16cid:durableId="2053797044">
    <w:abstractNumId w:val="90"/>
  </w:num>
  <w:num w:numId="63" w16cid:durableId="904098180">
    <w:abstractNumId w:val="45"/>
  </w:num>
  <w:num w:numId="64" w16cid:durableId="949315747">
    <w:abstractNumId w:val="87"/>
  </w:num>
  <w:num w:numId="65" w16cid:durableId="1344819864">
    <w:abstractNumId w:val="10"/>
  </w:num>
  <w:num w:numId="66" w16cid:durableId="511796351">
    <w:abstractNumId w:val="4"/>
  </w:num>
  <w:num w:numId="67" w16cid:durableId="7292829">
    <w:abstractNumId w:val="39"/>
  </w:num>
  <w:num w:numId="68" w16cid:durableId="1707216546">
    <w:abstractNumId w:val="69"/>
  </w:num>
  <w:num w:numId="69" w16cid:durableId="1388143496">
    <w:abstractNumId w:val="42"/>
  </w:num>
  <w:num w:numId="70" w16cid:durableId="1488548012">
    <w:abstractNumId w:val="94"/>
  </w:num>
  <w:num w:numId="71" w16cid:durableId="32006315">
    <w:abstractNumId w:val="89"/>
  </w:num>
  <w:num w:numId="72" w16cid:durableId="463470673">
    <w:abstractNumId w:val="8"/>
  </w:num>
  <w:num w:numId="73" w16cid:durableId="1874535822">
    <w:abstractNumId w:val="107"/>
  </w:num>
  <w:num w:numId="74" w16cid:durableId="56171887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53324151">
    <w:abstractNumId w:val="106"/>
  </w:num>
  <w:num w:numId="76" w16cid:durableId="662583494">
    <w:abstractNumId w:val="111"/>
  </w:num>
  <w:num w:numId="77" w16cid:durableId="1498955434">
    <w:abstractNumId w:val="75"/>
  </w:num>
  <w:num w:numId="78" w16cid:durableId="1989624857">
    <w:abstractNumId w:val="97"/>
  </w:num>
  <w:num w:numId="79" w16cid:durableId="240218610">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37256974">
    <w:abstractNumId w:val="18"/>
  </w:num>
  <w:num w:numId="81" w16cid:durableId="1556701656">
    <w:abstractNumId w:val="78"/>
  </w:num>
  <w:num w:numId="82" w16cid:durableId="549537403">
    <w:abstractNumId w:val="78"/>
  </w:num>
  <w:num w:numId="83" w16cid:durableId="1490752608">
    <w:abstractNumId w:val="78"/>
  </w:num>
  <w:num w:numId="84" w16cid:durableId="1916164075">
    <w:abstractNumId w:val="78"/>
  </w:num>
  <w:num w:numId="85" w16cid:durableId="401373196">
    <w:abstractNumId w:val="78"/>
  </w:num>
  <w:num w:numId="86" w16cid:durableId="899176274">
    <w:abstractNumId w:val="78"/>
  </w:num>
  <w:num w:numId="87" w16cid:durableId="1560244925">
    <w:abstractNumId w:val="86"/>
  </w:num>
  <w:num w:numId="88" w16cid:durableId="513962109">
    <w:abstractNumId w:val="92"/>
  </w:num>
  <w:num w:numId="89" w16cid:durableId="880240919">
    <w:abstractNumId w:val="2"/>
  </w:num>
  <w:num w:numId="90" w16cid:durableId="127848778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200747022">
    <w:abstractNumId w:val="78"/>
  </w:num>
  <w:num w:numId="92" w16cid:durableId="1043675110">
    <w:abstractNumId w:val="78"/>
  </w:num>
  <w:num w:numId="93" w16cid:durableId="345326778">
    <w:abstractNumId w:val="51"/>
  </w:num>
  <w:num w:numId="94" w16cid:durableId="136608626">
    <w:abstractNumId w:val="56"/>
  </w:num>
  <w:num w:numId="95" w16cid:durableId="541096223">
    <w:abstractNumId w:val="50"/>
  </w:num>
  <w:num w:numId="96" w16cid:durableId="1467624283">
    <w:abstractNumId w:val="12"/>
  </w:num>
  <w:num w:numId="97" w16cid:durableId="726874911">
    <w:abstractNumId w:val="62"/>
  </w:num>
  <w:num w:numId="98" w16cid:durableId="1323196000">
    <w:abstractNumId w:val="78"/>
  </w:num>
  <w:num w:numId="99" w16cid:durableId="64685270">
    <w:abstractNumId w:val="78"/>
  </w:num>
  <w:num w:numId="100" w16cid:durableId="1758599170">
    <w:abstractNumId w:val="28"/>
  </w:num>
  <w:num w:numId="101" w16cid:durableId="502551712">
    <w:abstractNumId w:val="105"/>
  </w:num>
  <w:num w:numId="102" w16cid:durableId="2031376417">
    <w:abstractNumId w:val="101"/>
  </w:num>
  <w:num w:numId="103" w16cid:durableId="1358968245">
    <w:abstractNumId w:val="79"/>
  </w:num>
  <w:num w:numId="104" w16cid:durableId="818882469">
    <w:abstractNumId w:val="100"/>
  </w:num>
  <w:num w:numId="105" w16cid:durableId="1001473661">
    <w:abstractNumId w:val="14"/>
  </w:num>
  <w:num w:numId="106" w16cid:durableId="1818692131">
    <w:abstractNumId w:val="19"/>
  </w:num>
  <w:num w:numId="107" w16cid:durableId="563880988">
    <w:abstractNumId w:val="67"/>
  </w:num>
  <w:num w:numId="108" w16cid:durableId="1506676048">
    <w:abstractNumId w:val="78"/>
  </w:num>
  <w:num w:numId="109" w16cid:durableId="1643465736">
    <w:abstractNumId w:val="17"/>
  </w:num>
  <w:num w:numId="110" w16cid:durableId="1727216469">
    <w:abstractNumId w:val="72"/>
  </w:num>
  <w:num w:numId="111" w16cid:durableId="1469855094">
    <w:abstractNumId w:val="24"/>
  </w:num>
  <w:num w:numId="112" w16cid:durableId="1101796803">
    <w:abstractNumId w:val="20"/>
  </w:num>
  <w:num w:numId="113" w16cid:durableId="9113486">
    <w:abstractNumId w:val="78"/>
  </w:num>
  <w:num w:numId="114" w16cid:durableId="382484220">
    <w:abstractNumId w:val="78"/>
  </w:num>
  <w:num w:numId="115" w16cid:durableId="1256591587">
    <w:abstractNumId w:val="27"/>
  </w:num>
  <w:num w:numId="116" w16cid:durableId="1041828130">
    <w:abstractNumId w:val="78"/>
  </w:num>
  <w:num w:numId="117" w16cid:durableId="1779332073">
    <w:abstractNumId w:val="76"/>
  </w:num>
  <w:num w:numId="118" w16cid:durableId="1327125103">
    <w:abstractNumId w:val="47"/>
  </w:num>
  <w:num w:numId="119" w16cid:durableId="491526048">
    <w:abstractNumId w:val="5"/>
  </w:num>
  <w:num w:numId="120" w16cid:durableId="85807904">
    <w:abstractNumId w:val="110"/>
  </w:num>
  <w:num w:numId="121" w16cid:durableId="1852453623">
    <w:abstractNumId w:val="99"/>
  </w:num>
  <w:num w:numId="122" w16cid:durableId="1352219898">
    <w:abstractNumId w:val="81"/>
  </w:num>
  <w:num w:numId="123" w16cid:durableId="1158695571">
    <w:abstractNumId w:val="63"/>
  </w:num>
  <w:num w:numId="124" w16cid:durableId="2088261164">
    <w:abstractNumId w:val="30"/>
  </w:num>
  <w:num w:numId="125" w16cid:durableId="1270628919">
    <w:abstractNumId w:val="57"/>
  </w:num>
  <w:num w:numId="126" w16cid:durableId="1294485209">
    <w:abstractNumId w:val="104"/>
  </w:num>
  <w:num w:numId="127" w16cid:durableId="1198155157">
    <w:abstractNumId w:val="109"/>
  </w:num>
  <w:num w:numId="128" w16cid:durableId="805852753">
    <w:abstractNumId w:val="70"/>
  </w:num>
  <w:num w:numId="129" w16cid:durableId="1277710463">
    <w:abstractNumId w:val="29"/>
  </w:num>
  <w:num w:numId="130" w16cid:durableId="341397316">
    <w:abstractNumId w:val="35"/>
  </w:num>
  <w:num w:numId="131" w16cid:durableId="2119834471">
    <w:abstractNumId w:val="6"/>
  </w:num>
  <w:num w:numId="132" w16cid:durableId="15693126">
    <w:abstractNumId w:val="15"/>
  </w:num>
  <w:num w:numId="133" w16cid:durableId="1522280941">
    <w:abstractNumId w:val="83"/>
  </w:num>
  <w:num w:numId="134" w16cid:durableId="430122254">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3AB"/>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174E"/>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4E0F"/>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382E"/>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0EA7"/>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B7A"/>
    <w:rsid w:val="005E7FCB"/>
    <w:rsid w:val="005F05C4"/>
    <w:rsid w:val="005F0717"/>
    <w:rsid w:val="005F0AFB"/>
    <w:rsid w:val="005F0FA5"/>
    <w:rsid w:val="005F1457"/>
    <w:rsid w:val="005F147E"/>
    <w:rsid w:val="005F18DA"/>
    <w:rsid w:val="005F23C7"/>
    <w:rsid w:val="005F27A4"/>
    <w:rsid w:val="005F27C0"/>
    <w:rsid w:val="005F3866"/>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62D"/>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1F"/>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2F4D"/>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0F2D"/>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A1E"/>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33A"/>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2A6"/>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DD5"/>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BRAKU PODSTAW WYKLUCZENIA.docx</dmsv2BaseFileName>
    <dmsv2BaseDisplayName xmlns="http://schemas.microsoft.com/sharepoint/v3">Załącznik nr 8 do SWZ – OŚWIADCZENIE O BRAKU PODSTAW WYKLUCZENIA</dmsv2BaseDisplayName>
    <dmsv2SWPP2ObjectNumber xmlns="http://schemas.microsoft.com/sharepoint/v3">POST/PEC/PEC/UZB/00782/2025                       </dmsv2SWPP2ObjectNumber>
    <dmsv2SWPP2SumMD5 xmlns="http://schemas.microsoft.com/sharepoint/v3">73a759c09db5c57742f84d613d306854</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23681169</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DPFVW34YURAE-1766223228-11481</_dlc_DocId>
    <_dlc_DocIdUrl xmlns="a19cb1c7-c5c7-46d4-85ae-d83685407bba">
      <Url>https://swpp2.dms.gkpge.pl/sites/40/_layouts/15/DocIdRedir.aspx?ID=DPFVW34YURAE-1766223228-11481</Url>
      <Description>DPFVW34YURAE-1766223228-11481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1CB0396B-FF39-4134-B84D-87CC0CFA5F2B}"/>
</file>

<file path=customXml/itemProps3.xml><?xml version="1.0" encoding="utf-8"?>
<ds:datastoreItem xmlns:ds="http://schemas.openxmlformats.org/officeDocument/2006/customXml" ds:itemID="{55FAA6EF-12F2-423D-81AA-23F0EA46728E}">
  <ds:schemaRefs>
    <ds:schemaRef ds:uri="http://schemas.openxmlformats.org/officeDocument/2006/bibliography"/>
  </ds:schemaRefs>
</ds:datastoreItem>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43ACA6FF-C435-4D19-8988-9C6BE744056D}"/>
</file>

<file path=docProps/app.xml><?xml version="1.0" encoding="utf-8"?>
<Properties xmlns="http://schemas.openxmlformats.org/officeDocument/2006/extended-properties" xmlns:vt="http://schemas.openxmlformats.org/officeDocument/2006/docPropsVTypes">
  <Template>Normal</Template>
  <TotalTime>0</TotalTime>
  <Pages>3</Pages>
  <Words>935</Words>
  <Characters>5615</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2025-10-03T07:43:00Z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2025-09-29T07:41:00Z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6c2e88d5-7bdc-44fb-a19d-648a44aa5cc5</vt:lpwstr>
  </property>
  <property fmtid="{D5CDD505-2E9C-101B-9397-08002B2CF9AE}" pid="9" name="MSIP_Label_66b5d990-821a-4d41-b503-280f184b2126_ContentBits">
    <vt:lpwstr>0</vt:lpwstr>
  </property>
  <property fmtid="{D5CDD505-2E9C-101B-9397-08002B2CF9AE}" pid="10" name="_dlc_DocIdItemGuid">
    <vt:lpwstr>8c230ac4-1cb2-46b6-97d8-a992d6794702</vt:lpwstr>
  </property>
</Properties>
</file>